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B55" w:rsidRDefault="00562CF7" w:rsidP="00C37B55">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 xml:space="preserve">INSTRUCTIVO SECTOR </w:t>
      </w:r>
      <w:r w:rsidR="00C37B55">
        <w:rPr>
          <w:rFonts w:ascii="Arial Unicode MS" w:eastAsia="Arial Unicode MS" w:hAnsi="Arial Unicode MS" w:cs="Arial Unicode MS"/>
          <w:b/>
          <w:sz w:val="24"/>
          <w:szCs w:val="24"/>
          <w:u w:val="single"/>
        </w:rPr>
        <w:t>ESCRIBANOS Y OTRAS PERSONAS FÍSICAS O JURÍDICAS</w:t>
      </w:r>
    </w:p>
    <w:p w:rsidR="00545FE1" w:rsidRDefault="00562CF7" w:rsidP="00C37B55">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 Ley N° 19.574, de 20 de diciembre de 201</w:t>
      </w:r>
      <w:r w:rsidR="00C37B55">
        <w:rPr>
          <w:rFonts w:ascii="Arial Unicode MS" w:eastAsia="Arial Unicode MS" w:hAnsi="Arial Unicode MS" w:cs="Arial Unicode MS"/>
          <w:sz w:val="24"/>
          <w:szCs w:val="24"/>
        </w:rPr>
        <w:t xml:space="preserve">7 </w:t>
      </w:r>
      <w:r w:rsidR="0025066E">
        <w:rPr>
          <w:rFonts w:ascii="Arial Unicode MS" w:eastAsia="Arial Unicode MS" w:hAnsi="Arial Unicode MS" w:cs="Arial Unicode MS"/>
          <w:sz w:val="24"/>
          <w:szCs w:val="24"/>
        </w:rPr>
        <w:t xml:space="preserve">con las modificaciones introducidas por las </w:t>
      </w:r>
      <w:r w:rsidR="0025066E" w:rsidRPr="008927F8">
        <w:rPr>
          <w:rFonts w:ascii="Arial Unicode MS" w:eastAsia="Arial Unicode MS" w:hAnsi="Arial Unicode MS" w:cs="Arial Unicode MS"/>
          <w:sz w:val="24"/>
          <w:szCs w:val="24"/>
        </w:rPr>
        <w:t>Ley</w:t>
      </w:r>
      <w:r w:rsidR="0025066E">
        <w:rPr>
          <w:rFonts w:ascii="Arial Unicode MS" w:eastAsia="Arial Unicode MS" w:hAnsi="Arial Unicode MS" w:cs="Arial Unicode MS"/>
          <w:sz w:val="24"/>
          <w:szCs w:val="24"/>
        </w:rPr>
        <w:t xml:space="preserve">es Nº 19.670, de 15 de octubre de </w:t>
      </w:r>
      <w:r w:rsidR="0025066E" w:rsidRPr="008927F8">
        <w:rPr>
          <w:rFonts w:ascii="Arial Unicode MS" w:eastAsia="Arial Unicode MS" w:hAnsi="Arial Unicode MS" w:cs="Arial Unicode MS"/>
          <w:sz w:val="24"/>
          <w:szCs w:val="24"/>
        </w:rPr>
        <w:t>2018</w:t>
      </w:r>
      <w:r w:rsidR="0025066E">
        <w:rPr>
          <w:rFonts w:ascii="Arial Unicode MS" w:eastAsia="Arial Unicode MS" w:hAnsi="Arial Unicode MS" w:cs="Arial Unicode MS"/>
          <w:sz w:val="24"/>
          <w:szCs w:val="24"/>
        </w:rPr>
        <w:t xml:space="preserve"> y 19.889, de 09 de julio de </w:t>
      </w:r>
      <w:r w:rsidR="0025066E" w:rsidRPr="008927F8">
        <w:rPr>
          <w:rFonts w:ascii="Arial Unicode MS" w:eastAsia="Arial Unicode MS" w:hAnsi="Arial Unicode MS" w:cs="Arial Unicode MS"/>
          <w:sz w:val="24"/>
          <w:szCs w:val="24"/>
        </w:rPr>
        <w:t xml:space="preserve">2020 </w:t>
      </w:r>
      <w:r w:rsidR="00C37B55">
        <w:rPr>
          <w:rFonts w:ascii="Arial Unicode MS" w:eastAsia="Arial Unicode MS" w:hAnsi="Arial Unicode MS" w:cs="Arial Unicode MS"/>
          <w:sz w:val="24"/>
          <w:szCs w:val="24"/>
        </w:rPr>
        <w:t xml:space="preserve">y </w:t>
      </w:r>
      <w:r w:rsidR="0025066E">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 xml:space="preserve">Decreto </w:t>
      </w:r>
      <w:r w:rsidR="0025066E">
        <w:rPr>
          <w:rFonts w:ascii="Arial Unicode MS" w:eastAsia="Arial Unicode MS" w:hAnsi="Arial Unicode MS" w:cs="Arial Unicode MS"/>
          <w:sz w:val="24"/>
          <w:szCs w:val="24"/>
        </w:rPr>
        <w:t xml:space="preserve">reglamentario </w:t>
      </w:r>
      <w:r>
        <w:rPr>
          <w:rFonts w:ascii="Arial Unicode MS" w:eastAsia="Arial Unicode MS" w:hAnsi="Arial Unicode MS" w:cs="Arial Unicode MS"/>
          <w:sz w:val="24"/>
          <w:szCs w:val="24"/>
        </w:rPr>
        <w:t>N° 379/018, de 12 de noviembre de 2018.</w:t>
      </w:r>
    </w:p>
    <w:p w:rsidR="00545FE1" w:rsidRDefault="00562CF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545FE1" w:rsidRDefault="00A412D3">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Dispone e</w:t>
      </w:r>
      <w:r w:rsidR="00C37B55">
        <w:rPr>
          <w:rFonts w:ascii="Arial Unicode MS" w:eastAsia="Arial Unicode MS" w:hAnsi="Arial Unicode MS" w:cs="Arial Unicode MS"/>
          <w:sz w:val="24"/>
          <w:szCs w:val="24"/>
        </w:rPr>
        <w:t>l literal D</w:t>
      </w:r>
      <w:r w:rsidR="00562CF7">
        <w:rPr>
          <w:rFonts w:ascii="Arial Unicode MS" w:eastAsia="Arial Unicode MS" w:hAnsi="Arial Unicode MS" w:cs="Arial Unicode MS"/>
          <w:sz w:val="24"/>
          <w:szCs w:val="24"/>
        </w:rPr>
        <w:t>)</w:t>
      </w:r>
      <w:r w:rsidR="00CD5B73">
        <w:rPr>
          <w:rFonts w:ascii="Arial Unicode MS" w:eastAsia="Arial Unicode MS" w:hAnsi="Arial Unicode MS" w:cs="Arial Unicode MS"/>
          <w:sz w:val="24"/>
          <w:szCs w:val="24"/>
        </w:rPr>
        <w:t>,</w:t>
      </w:r>
      <w:r w:rsidR="00562CF7">
        <w:rPr>
          <w:rFonts w:ascii="Arial Unicode MS" w:eastAsia="Arial Unicode MS" w:hAnsi="Arial Unicode MS" w:cs="Arial Unicode MS"/>
          <w:sz w:val="24"/>
          <w:szCs w:val="24"/>
        </w:rPr>
        <w:t xml:space="preserve"> numerales 1 a 8, de la Ley 19.574</w:t>
      </w:r>
      <w:r>
        <w:rPr>
          <w:rFonts w:ascii="Arial Unicode MS" w:eastAsia="Arial Unicode MS" w:hAnsi="Arial Unicode MS" w:cs="Arial Unicode MS"/>
          <w:sz w:val="24"/>
          <w:szCs w:val="24"/>
        </w:rPr>
        <w:t>,</w:t>
      </w:r>
      <w:r w:rsidR="00562CF7">
        <w:rPr>
          <w:rFonts w:ascii="Arial Unicode MS" w:eastAsia="Arial Unicode MS" w:hAnsi="Arial Unicode MS" w:cs="Arial Unicode MS"/>
          <w:sz w:val="24"/>
          <w:szCs w:val="24"/>
        </w:rPr>
        <w:t xml:space="preserve"> que</w:t>
      </w:r>
      <w:r>
        <w:rPr>
          <w:rFonts w:ascii="Arial Unicode MS" w:eastAsia="Arial Unicode MS" w:hAnsi="Arial Unicode MS" w:cs="Arial Unicode MS"/>
          <w:sz w:val="24"/>
          <w:szCs w:val="24"/>
        </w:rPr>
        <w:t xml:space="preserve"> los </w:t>
      </w:r>
      <w:r w:rsidR="00C37B55">
        <w:rPr>
          <w:rFonts w:ascii="Arial Unicode MS" w:eastAsia="Arial Unicode MS" w:hAnsi="Arial Unicode MS" w:cs="Arial Unicode MS"/>
          <w:sz w:val="24"/>
          <w:szCs w:val="24"/>
        </w:rPr>
        <w:t xml:space="preserve">escribanos o cualquier otra persona física o jurídica, </w:t>
      </w:r>
      <w:r w:rsidR="00562CF7">
        <w:rPr>
          <w:rFonts w:ascii="Arial Unicode MS" w:eastAsia="Arial Unicode MS" w:hAnsi="Arial Unicode MS" w:cs="Arial Unicode MS"/>
          <w:sz w:val="24"/>
          <w:szCs w:val="24"/>
        </w:rPr>
        <w:t xml:space="preserve">son sujetos obligados no financieros </w:t>
      </w:r>
      <w:r w:rsidR="00CD5B73">
        <w:rPr>
          <w:rFonts w:ascii="Arial Unicode MS" w:eastAsia="Arial Unicode MS" w:hAnsi="Arial Unicode MS" w:cs="Arial Unicode MS"/>
          <w:sz w:val="24"/>
          <w:szCs w:val="24"/>
        </w:rPr>
        <w:t xml:space="preserve">cuando </w:t>
      </w:r>
      <w:r w:rsidR="00C37B55">
        <w:rPr>
          <w:rFonts w:ascii="Arial Unicode MS" w:eastAsia="Arial Unicode MS" w:hAnsi="Arial Unicode MS" w:cs="Arial Unicode MS"/>
          <w:sz w:val="24"/>
          <w:szCs w:val="24"/>
        </w:rPr>
        <w:t>participen en la realización de las operaciones</w:t>
      </w:r>
      <w:r w:rsidR="00562CF7">
        <w:rPr>
          <w:rFonts w:ascii="Arial Unicode MS" w:eastAsia="Arial Unicode MS" w:hAnsi="Arial Unicode MS" w:cs="Arial Unicode MS"/>
          <w:sz w:val="24"/>
          <w:szCs w:val="24"/>
        </w:rPr>
        <w:t xml:space="preserve"> específicamente enumeradas por la norma</w:t>
      </w:r>
      <w:r w:rsidR="00C37B55">
        <w:rPr>
          <w:rFonts w:ascii="Arial Unicode MS" w:eastAsia="Arial Unicode MS" w:hAnsi="Arial Unicode MS" w:cs="Arial Unicode MS"/>
          <w:sz w:val="24"/>
          <w:szCs w:val="24"/>
        </w:rPr>
        <w:t>,</w:t>
      </w:r>
      <w:r w:rsidR="00C37B55" w:rsidRPr="00C37B55">
        <w:rPr>
          <w:rFonts w:ascii="Arial Unicode MS" w:eastAsia="Arial Unicode MS" w:hAnsi="Arial Unicode MS" w:cs="Arial Unicode MS"/>
          <w:sz w:val="24"/>
          <w:szCs w:val="24"/>
        </w:rPr>
        <w:t xml:space="preserve"> </w:t>
      </w:r>
      <w:r w:rsidR="00C37B55">
        <w:rPr>
          <w:rFonts w:ascii="Arial Unicode MS" w:eastAsia="Arial Unicode MS" w:hAnsi="Arial Unicode MS" w:cs="Arial Unicode MS"/>
          <w:sz w:val="24"/>
          <w:szCs w:val="24"/>
        </w:rPr>
        <w:t>para sus clientes</w:t>
      </w:r>
      <w:r w:rsidR="00562CF7">
        <w:rPr>
          <w:rFonts w:ascii="Arial Unicode MS" w:eastAsia="Arial Unicode MS" w:hAnsi="Arial Unicode MS" w:cs="Arial Unicode MS"/>
          <w:sz w:val="24"/>
          <w:szCs w:val="24"/>
        </w:rPr>
        <w:t xml:space="preserve">. Cabe subrayar, que se encuentra excluida expresamente del control del sistema de prevención, la actividad de asesoramiento que los mencionados profesionales pueden desarrollar para sus clientes.  </w:t>
      </w:r>
    </w:p>
    <w:p w:rsidR="00C37B55" w:rsidRPr="00C37B55" w:rsidRDefault="00A412D3" w:rsidP="00C37B55">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Establece el</w:t>
      </w:r>
      <w:r w:rsidR="00562CF7">
        <w:rPr>
          <w:rFonts w:ascii="Arial Unicode MS" w:eastAsia="Arial Unicode MS" w:hAnsi="Arial Unicode MS" w:cs="Arial Unicode MS"/>
          <w:sz w:val="24"/>
          <w:szCs w:val="24"/>
        </w:rPr>
        <w:t xml:space="preserve"> artículo </w:t>
      </w:r>
      <w:r w:rsidR="00C37B55">
        <w:rPr>
          <w:rFonts w:ascii="Arial Unicode MS" w:eastAsia="Arial Unicode MS" w:hAnsi="Arial Unicode MS" w:cs="Arial Unicode MS"/>
          <w:sz w:val="24"/>
          <w:szCs w:val="24"/>
        </w:rPr>
        <w:t>40</w:t>
      </w:r>
      <w:r>
        <w:rPr>
          <w:rFonts w:ascii="Arial Unicode MS" w:eastAsia="Arial Unicode MS" w:hAnsi="Arial Unicode MS" w:cs="Arial Unicode MS"/>
          <w:b/>
          <w:sz w:val="24"/>
          <w:szCs w:val="24"/>
        </w:rPr>
        <w:t xml:space="preserve"> </w:t>
      </w:r>
      <w:r>
        <w:rPr>
          <w:rFonts w:ascii="Arial Unicode MS" w:eastAsia="Arial Unicode MS" w:hAnsi="Arial Unicode MS" w:cs="Arial Unicode MS"/>
          <w:sz w:val="24"/>
          <w:szCs w:val="24"/>
        </w:rPr>
        <w:t>del Decreto 379/018 que</w:t>
      </w:r>
      <w:r w:rsidR="005872A5">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w:t>
      </w:r>
      <w:r w:rsidR="005872A5">
        <w:rPr>
          <w:rFonts w:ascii="Arial Unicode MS" w:eastAsia="Arial Unicode MS" w:hAnsi="Arial Unicode MS" w:cs="Arial Unicode MS"/>
          <w:sz w:val="24"/>
          <w:szCs w:val="24"/>
        </w:rPr>
        <w:t>“</w:t>
      </w:r>
      <w:r w:rsidR="00C37B55" w:rsidRPr="00C37B55">
        <w:rPr>
          <w:rFonts w:ascii="Arial Unicode MS" w:eastAsia="Arial Unicode MS" w:hAnsi="Arial Unicode MS" w:cs="Arial Unicode MS"/>
          <w:i/>
          <w:sz w:val="24"/>
          <w:szCs w:val="24"/>
        </w:rPr>
        <w:t>Deberán cumplir e implementar las disposiciones del presente decreto y las instrucciones que emitan cuando corresponda, la Secretaría Nacional para la Lucha contra el Lavado de Activos y el Financiamiento del Terrorismo y el Banco Central del Uruguay, los escribanos o cualquier otra persona física o jurídica, cuando participen en la realización de las siguientes operaciones para sus clientes y en ningún caso por cualquier tipo de asesoramiento que les presten:</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lastRenderedPageBreak/>
        <w:t xml:space="preserve">A) Promesas, cesiones de promesas o compraventas de bienes inmuebles respecto de los promitentes compradores, cesionarios o compradores.  </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 xml:space="preserve">Se excluyen las compraventas de bienes inmuebles y las resultantes de escrituraciones judiciales, efectuadas en cumplimiento de promesas de compraventas ya realizadas por el mismo escribano, sin perjuicio de la actualización de la debida diligencia que correspondiera realizar según el riesgo, en especial respecto a la verificación de las listas confeccionadas en función de las Resoluciones del Consejo de Seguridad de Naciones Unidas y la búsqueda de antecedentes de las personas físicas o jurídicas, de acuerdo a lo previsto en los numerales 3) y 4) del literal C) del artículo 44 y literal G) del artículo 45 del presente decreto. </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B) Administración del dinero, valores u otros activos del cliente, excluyéndose los fondos recibidos en concepto de seña, depósito en garantía o para el pago de obligaciones tributarias o gastos similares.</w:t>
      </w:r>
    </w:p>
    <w:p w:rsidR="00C37B55" w:rsidRPr="005872A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C) Administración de cuentas bancarias, de ahorro o valores, excluyéndose los fondos recibidos para el pago de obligaciones tributarias o gastos similares.</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D) Organización de aportes para la creación, operación o administración de sociedades.</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E) Creación, operación o administración de personas jurídicas, fideicomisos, fondos de inversión u otros patrimonios de afectación.</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lastRenderedPageBreak/>
        <w:t xml:space="preserve">F) Promesas, cesiones de promesas o compraventa de establecimientos comerciales respecto de los promitentes compradores, cesionarios o compradores.  </w:t>
      </w:r>
    </w:p>
    <w:p w:rsidR="00C37B55" w:rsidRPr="005872A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Se excluyen las compraventas de establecimientos comerciales y las resultantes de escrituraciones judiciales, efectuadas en cumplimiento de promesas de compraventas ya realizadas por el mismo escribano, sin perjuicio de la actualización de la debida diligencia que correspondiera realizar según el riesgo, en especial respecto a la verificación de las listas confeccionadas en función de las Resoluciones del Consejo de Seguridad de Naciones Unidas y la búsqueda de antecedentes de las personas físicas o jurídicas, de acuerdo a lo previsto en los numerales 3) y 4) del literal C) del artículo 44 y literal G) del artículo 45 del presente decreto.</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G) Actuación por cuenta y orden de clientes en cualquier operación financiera o inmobiliaria.</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H) Las actividades descriptas en el artículo 77 del presente decreto.</w:t>
      </w:r>
    </w:p>
    <w:p w:rsidR="00C37B55" w:rsidRPr="00C37B55" w:rsidRDefault="00C37B55" w:rsidP="00C37B55">
      <w:pPr>
        <w:jc w:val="both"/>
        <w:rPr>
          <w:rFonts w:ascii="Arial Unicode MS" w:eastAsia="Arial Unicode MS" w:hAnsi="Arial Unicode MS" w:cs="Arial Unicode MS"/>
          <w:i/>
          <w:sz w:val="24"/>
          <w:szCs w:val="24"/>
        </w:rPr>
      </w:pPr>
      <w:r w:rsidRPr="00C37B55">
        <w:rPr>
          <w:rFonts w:ascii="Arial Unicode MS" w:eastAsia="Arial Unicode MS" w:hAnsi="Arial Unicode MS" w:cs="Arial Unicode MS"/>
          <w:i/>
          <w:sz w:val="24"/>
          <w:szCs w:val="24"/>
        </w:rPr>
        <w:t>Los escribanos que no participen en la realización de al menos una de las actividades señaladas precedentemente en los literales A) al H), no ostentarán la calidad de sujetos obligados. No obstante, la misma se activa inmediatamente que realicen alguna de las actividades descriptas.</w:t>
      </w:r>
      <w:r>
        <w:rPr>
          <w:rFonts w:ascii="Arial Unicode MS" w:eastAsia="Arial Unicode MS" w:hAnsi="Arial Unicode MS" w:cs="Arial Unicode MS"/>
          <w:i/>
          <w:sz w:val="24"/>
          <w:szCs w:val="24"/>
        </w:rPr>
        <w:t>”</w:t>
      </w:r>
      <w:r w:rsidRPr="00C37B55">
        <w:rPr>
          <w:rFonts w:ascii="Arial Unicode MS" w:eastAsia="Arial Unicode MS" w:hAnsi="Arial Unicode MS" w:cs="Arial Unicode MS"/>
          <w:i/>
          <w:sz w:val="24"/>
          <w:szCs w:val="24"/>
        </w:rPr>
        <w:t xml:space="preserve"> </w:t>
      </w:r>
    </w:p>
    <w:p w:rsidR="00545FE1" w:rsidRDefault="00562CF7" w:rsidP="005872A5">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Debida Diligencia de Cliente: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6D5810">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 xml:space="preserve">formularios o guías, </w:t>
      </w:r>
      <w:r w:rsidR="006D5810">
        <w:rPr>
          <w:rFonts w:ascii="Arial Unicode MS" w:eastAsia="Arial Unicode MS" w:hAnsi="Arial Unicode MS" w:cs="Arial Unicode MS"/>
          <w:sz w:val="24"/>
          <w:szCs w:val="24"/>
        </w:rPr>
        <w:t xml:space="preserve">dos de ellos para </w:t>
      </w:r>
      <w:r>
        <w:rPr>
          <w:rFonts w:ascii="Arial Unicode MS" w:eastAsia="Arial Unicode MS" w:hAnsi="Arial Unicode MS" w:cs="Arial Unicode MS"/>
          <w:sz w:val="24"/>
          <w:szCs w:val="24"/>
        </w:rPr>
        <w:t xml:space="preserve">Debida Diligencia Simplificada </w:t>
      </w:r>
      <w:r w:rsidR="006D5810">
        <w:rPr>
          <w:rFonts w:ascii="Arial Unicode MS" w:eastAsia="Arial Unicode MS" w:hAnsi="Arial Unicode MS" w:cs="Arial Unicode MS"/>
          <w:sz w:val="24"/>
          <w:szCs w:val="24"/>
        </w:rPr>
        <w:t xml:space="preserve">según sea Persona Física o Jurídica, dos para </w:t>
      </w:r>
      <w:r>
        <w:rPr>
          <w:rFonts w:ascii="Arial Unicode MS" w:eastAsia="Arial Unicode MS" w:hAnsi="Arial Unicode MS" w:cs="Arial Unicode MS"/>
          <w:sz w:val="24"/>
          <w:szCs w:val="24"/>
        </w:rPr>
        <w:lastRenderedPageBreak/>
        <w:t>Debida Diligencia Normal</w:t>
      </w:r>
      <w:r w:rsidR="006D5810">
        <w:rPr>
          <w:rFonts w:ascii="Arial Unicode MS" w:eastAsia="Arial Unicode MS" w:hAnsi="Arial Unicode MS" w:cs="Arial Unicode MS"/>
          <w:sz w:val="24"/>
          <w:szCs w:val="24"/>
        </w:rPr>
        <w:t xml:space="preserve"> sea Persona Física o Jurídica</w:t>
      </w:r>
      <w:r>
        <w:rPr>
          <w:rFonts w:ascii="Arial Unicode MS" w:eastAsia="Arial Unicode MS" w:hAnsi="Arial Unicode MS" w:cs="Arial Unicode MS"/>
          <w:sz w:val="24"/>
          <w:szCs w:val="24"/>
        </w:rPr>
        <w:t xml:space="preserve"> y </w:t>
      </w:r>
      <w:r w:rsidR="006D5810">
        <w:rPr>
          <w:rFonts w:ascii="Arial Unicode MS" w:eastAsia="Arial Unicode MS" w:hAnsi="Arial Unicode MS" w:cs="Arial Unicode MS"/>
          <w:sz w:val="24"/>
          <w:szCs w:val="24"/>
        </w:rPr>
        <w:t xml:space="preserve">otros dos formularios para </w:t>
      </w:r>
      <w:r>
        <w:rPr>
          <w:rFonts w:ascii="Arial Unicode MS" w:eastAsia="Arial Unicode MS" w:hAnsi="Arial Unicode MS" w:cs="Arial Unicode MS"/>
          <w:sz w:val="24"/>
          <w:szCs w:val="24"/>
        </w:rPr>
        <w:t>Debida Diligencia Intensificada</w:t>
      </w:r>
      <w:r w:rsidR="006D5810" w:rsidRPr="006D5810">
        <w:rPr>
          <w:rFonts w:ascii="Arial Unicode MS" w:eastAsia="Arial Unicode MS" w:hAnsi="Arial Unicode MS" w:cs="Arial Unicode MS"/>
          <w:sz w:val="24"/>
          <w:szCs w:val="24"/>
        </w:rPr>
        <w:t xml:space="preserve"> </w:t>
      </w:r>
      <w:r w:rsidR="006D5810">
        <w:rPr>
          <w:rFonts w:ascii="Arial Unicode MS" w:eastAsia="Arial Unicode MS" w:hAnsi="Arial Unicode MS" w:cs="Arial Unicode MS"/>
          <w:sz w:val="24"/>
          <w:szCs w:val="24"/>
        </w:rPr>
        <w:t>según sea Persona Física o Jurídica,</w:t>
      </w:r>
      <w:r w:rsidR="00CC3655">
        <w:rPr>
          <w:rFonts w:ascii="Arial Unicode MS" w:eastAsia="Arial Unicode MS" w:hAnsi="Arial Unicode MS" w:cs="Arial Unicode MS"/>
          <w:sz w:val="24"/>
          <w:szCs w:val="24"/>
        </w:rPr>
        <w:t xml:space="preserve"> </w:t>
      </w:r>
      <w:r w:rsidR="00CC3655" w:rsidRPr="00C37B55">
        <w:rPr>
          <w:rFonts w:ascii="Arial Unicode MS" w:eastAsia="Arial Unicode MS" w:hAnsi="Arial Unicode MS" w:cs="Arial Unicode MS"/>
          <w:sz w:val="24"/>
          <w:szCs w:val="24"/>
        </w:rPr>
        <w:t>l</w:t>
      </w:r>
      <w:r w:rsidR="006D5810" w:rsidRPr="00C37B55">
        <w:rPr>
          <w:rFonts w:ascii="Arial Unicode MS" w:eastAsia="Arial Unicode MS" w:hAnsi="Arial Unicode MS" w:cs="Arial Unicode MS"/>
          <w:sz w:val="24"/>
          <w:szCs w:val="24"/>
        </w:rPr>
        <w:t>o</w:t>
      </w:r>
      <w:r w:rsidR="00CC3655" w:rsidRPr="00C37B55">
        <w:rPr>
          <w:rFonts w:ascii="Arial Unicode MS" w:eastAsia="Arial Unicode MS" w:hAnsi="Arial Unicode MS" w:cs="Arial Unicode MS"/>
          <w:sz w:val="24"/>
          <w:szCs w:val="24"/>
        </w:rPr>
        <w:t>s cuales operar</w:t>
      </w:r>
      <w:r w:rsidR="006D5810" w:rsidRPr="00C37B55">
        <w:rPr>
          <w:rFonts w:ascii="Arial Unicode MS" w:eastAsia="Arial Unicode MS" w:hAnsi="Arial Unicode MS" w:cs="Arial Unicode MS"/>
          <w:sz w:val="24"/>
          <w:szCs w:val="24"/>
        </w:rPr>
        <w:t>á</w:t>
      </w:r>
      <w:r w:rsidR="00CC3655" w:rsidRPr="00C37B55">
        <w:rPr>
          <w:rFonts w:ascii="Arial Unicode MS" w:eastAsia="Arial Unicode MS" w:hAnsi="Arial Unicode MS" w:cs="Arial Unicode MS"/>
          <w:sz w:val="24"/>
          <w:szCs w:val="24"/>
        </w:rPr>
        <w:t xml:space="preserve">n en función del riesgo que se le asigne al cliente </w:t>
      </w:r>
      <w:r w:rsidR="00E57B1E" w:rsidRPr="00C37B55">
        <w:rPr>
          <w:rFonts w:ascii="Arial Unicode MS" w:eastAsia="Arial Unicode MS" w:hAnsi="Arial Unicode MS" w:cs="Arial Unicode MS"/>
          <w:sz w:val="24"/>
          <w:szCs w:val="24"/>
        </w:rPr>
        <w:t>y/u</w:t>
      </w:r>
      <w:r w:rsidR="00CC3655" w:rsidRPr="00C37B55">
        <w:rPr>
          <w:rFonts w:ascii="Arial Unicode MS" w:eastAsia="Arial Unicode MS" w:hAnsi="Arial Unicode MS" w:cs="Arial Unicode MS"/>
          <w:sz w:val="24"/>
          <w:szCs w:val="24"/>
        </w:rPr>
        <w:t xml:space="preserve"> operación</w:t>
      </w:r>
      <w:r w:rsidR="00CC3655">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señalándose que su uso corresponde de la siguiente manera: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CD5B73">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importante es que la debida diligencia de cliente contenga los datos requeridos por la normativa vigente ante cada situación de riesgo. </w:t>
      </w:r>
    </w:p>
    <w:p w:rsidR="0025066E" w:rsidRDefault="0025066E" w:rsidP="0025066E">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545FE1" w:rsidRDefault="00562CF7">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545FE1" w:rsidRDefault="00CD5B73">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562CF7">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 xml:space="preserve">mediante </w:t>
      </w:r>
      <w:r w:rsidR="00562CF7">
        <w:rPr>
          <w:rFonts w:ascii="Arial Unicode MS" w:eastAsia="Arial Unicode MS" w:hAnsi="Arial Unicode MS" w:cs="Arial Unicode MS"/>
          <w:sz w:val="24"/>
          <w:szCs w:val="24"/>
        </w:rPr>
        <w:t xml:space="preserve">un </w:t>
      </w:r>
      <w:r w:rsidR="00562CF7">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562CF7">
        <w:rPr>
          <w:rFonts w:ascii="Arial Unicode MS" w:eastAsia="Arial Unicode MS" w:hAnsi="Arial Unicode MS" w:cs="Arial Unicode MS"/>
          <w:b/>
          <w:bCs/>
          <w:sz w:val="24"/>
          <w:szCs w:val="24"/>
        </w:rPr>
        <w:t>el sujeto obligado</w:t>
      </w:r>
      <w:r>
        <w:rPr>
          <w:rFonts w:ascii="Arial Unicode MS" w:eastAsia="Arial Unicode MS" w:hAnsi="Arial Unicode MS" w:cs="Arial Unicode MS"/>
          <w:sz w:val="24"/>
          <w:szCs w:val="24"/>
        </w:rPr>
        <w:t>, atendiendo a</w:t>
      </w:r>
      <w:r w:rsidR="00562CF7">
        <w:rPr>
          <w:rFonts w:ascii="Arial Unicode MS" w:eastAsia="Arial Unicode MS" w:hAnsi="Arial Unicode MS" w:cs="Arial Unicode MS"/>
          <w:sz w:val="24"/>
          <w:szCs w:val="24"/>
        </w:rPr>
        <w:t xml:space="preserve"> la posibilidad</w:t>
      </w:r>
      <w:r>
        <w:rPr>
          <w:rFonts w:ascii="Arial Unicode MS" w:eastAsia="Arial Unicode MS" w:hAnsi="Arial Unicode MS" w:cs="Arial Unicode MS"/>
          <w:sz w:val="24"/>
          <w:szCs w:val="24"/>
        </w:rPr>
        <w:t xml:space="preserve"> </w:t>
      </w:r>
      <w:r w:rsidR="00562CF7">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25066E">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Alto</w:t>
      </w:r>
      <w:r>
        <w:rPr>
          <w:rFonts w:ascii="Arial Unicode MS" w:eastAsia="Arial Unicode MS" w:hAnsi="Arial Unicode MS" w:cs="Arial Unicode MS"/>
          <w:sz w:val="24"/>
          <w:szCs w:val="24"/>
        </w:rPr>
        <w:t xml:space="preserve">: A continuación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otros elementos o situaciones concretas que le adviertan que el riesgo es igualmente alto.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Relaciones comerciales y operaciones con clientes no residentes que provengan de países que no son miembros del Grupo de Acción Financiera Internacional </w:t>
      </w:r>
      <w:r>
        <w:rPr>
          <w:rFonts w:ascii="Arial Unicode MS" w:eastAsia="Arial Unicode MS" w:hAnsi="Arial Unicode MS" w:cs="Arial Unicode MS"/>
          <w:sz w:val="24"/>
          <w:szCs w:val="24"/>
        </w:rPr>
        <w:lastRenderedPageBreak/>
        <w:t>(GAFI),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Grupo de prevención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Operaciones que no impliquen la presencia física de las partes o de quienes los representen.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Políticamente Expuestas, su cónyuge, concubino y sus parientes por consanguinidad o afinidad hasta el segundo grado, así como los asociados cercanos a ellas cuando estos sean de público conocimiento y quienes realicen operaciones en su nombre.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 </w:t>
      </w:r>
      <w:r w:rsidR="00D90180" w:rsidRPr="00D56C05">
        <w:rPr>
          <w:rFonts w:ascii="Arial Unicode MS" w:eastAsia="Arial Unicode MS" w:hAnsi="Arial Unicode MS" w:cs="Arial Unicode MS"/>
          <w:sz w:val="24"/>
          <w:szCs w:val="24"/>
        </w:rPr>
        <w:t>Negocios en que se utilizan cuantías elevadas de efectivo</w:t>
      </w:r>
      <w:r w:rsidR="00521770">
        <w:rPr>
          <w:rFonts w:ascii="Arial Unicode MS" w:eastAsia="Arial Unicode MS" w:hAnsi="Arial Unicode MS" w:cs="Arial Unicode MS"/>
          <w:sz w:val="24"/>
          <w:szCs w:val="24"/>
        </w:rPr>
        <w:t>. Asimismo, cuando lleven a cabo para sus clientes las operaciones descriptas en los literales A) y F) del artículo 40</w:t>
      </w:r>
      <w:r w:rsidR="00FB586B">
        <w:rPr>
          <w:rFonts w:ascii="Arial Unicode MS" w:eastAsia="Arial Unicode MS" w:hAnsi="Arial Unicode MS" w:cs="Arial Unicode MS"/>
          <w:sz w:val="24"/>
          <w:szCs w:val="24"/>
        </w:rPr>
        <w:t xml:space="preserve"> del Decreto 379/018</w:t>
      </w:r>
      <w:r w:rsidR="00521770">
        <w:rPr>
          <w:rFonts w:ascii="Arial Unicode MS" w:eastAsia="Arial Unicode MS" w:hAnsi="Arial Unicode MS" w:cs="Arial Unicode MS"/>
          <w:sz w:val="24"/>
          <w:szCs w:val="24"/>
        </w:rPr>
        <w:t xml:space="preserve"> </w:t>
      </w:r>
      <w:r w:rsidR="00FB586B">
        <w:rPr>
          <w:rFonts w:ascii="Arial Unicode MS" w:eastAsia="Arial Unicode MS" w:hAnsi="Arial Unicode MS" w:cs="Arial Unicode MS"/>
          <w:sz w:val="24"/>
          <w:szCs w:val="24"/>
        </w:rPr>
        <w:t>y</w:t>
      </w:r>
      <w:r w:rsidR="00521770">
        <w:rPr>
          <w:rFonts w:ascii="Arial Unicode MS" w:eastAsia="Arial Unicode MS" w:hAnsi="Arial Unicode MS" w:cs="Arial Unicode MS"/>
          <w:sz w:val="24"/>
          <w:szCs w:val="24"/>
        </w:rPr>
        <w:t xml:space="preserve"> </w:t>
      </w:r>
      <w:r w:rsidR="00FB586B">
        <w:rPr>
          <w:rFonts w:ascii="Arial Unicode MS" w:eastAsia="Arial Unicode MS" w:hAnsi="Arial Unicode MS" w:cs="Arial Unicode MS"/>
          <w:sz w:val="24"/>
          <w:szCs w:val="24"/>
        </w:rPr>
        <w:t xml:space="preserve">en </w:t>
      </w:r>
      <w:r w:rsidR="00521770">
        <w:rPr>
          <w:rFonts w:ascii="Arial Unicode MS" w:eastAsia="Arial Unicode MS" w:hAnsi="Arial Unicode MS" w:cs="Arial Unicode MS"/>
          <w:sz w:val="24"/>
          <w:szCs w:val="24"/>
        </w:rPr>
        <w:t xml:space="preserve">la operación se utilice efectivo, cualquiera sea </w:t>
      </w:r>
      <w:r w:rsidR="00FB586B">
        <w:rPr>
          <w:rFonts w:ascii="Arial Unicode MS" w:eastAsia="Arial Unicode MS" w:hAnsi="Arial Unicode MS" w:cs="Arial Unicode MS"/>
          <w:sz w:val="24"/>
          <w:szCs w:val="24"/>
        </w:rPr>
        <w:t>su monto</w:t>
      </w:r>
      <w:r w:rsidR="00521770">
        <w:rPr>
          <w:rFonts w:ascii="Arial Unicode MS" w:eastAsia="Arial Unicode MS" w:hAnsi="Arial Unicode MS" w:cs="Arial Unicode MS"/>
          <w:sz w:val="24"/>
          <w:szCs w:val="24"/>
        </w:rPr>
        <w:t>, según lo previsto en el artículo 47 del mencionado decreto</w:t>
      </w:r>
      <w:r w:rsidR="00D90180" w:rsidRPr="00D56C05">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xml:space="preserve"> De acuerdo a su conocimiento o experiencia, el sujeto obligado entiende que el cliente, producto u operación es adecuado a la práctica ordinaria 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C377D6" w:rsidRDefault="00C377D6">
      <w:pPr>
        <w:jc w:val="both"/>
        <w:rPr>
          <w:rFonts w:ascii="Arial Unicode MS" w:eastAsia="Arial Unicode MS" w:hAnsi="Arial Unicode MS" w:cs="Arial Unicode MS"/>
          <w:sz w:val="24"/>
          <w:szCs w:val="24"/>
        </w:rPr>
      </w:pPr>
    </w:p>
    <w:p w:rsidR="00C377D6" w:rsidRDefault="00C377D6" w:rsidP="00C377D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747C02" w:rsidRDefault="00C377D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bookmarkStart w:id="0" w:name="_GoBack"/>
      <w:bookmarkEnd w:id="0"/>
    </w:p>
    <w:p w:rsidR="00545FE1" w:rsidRDefault="00562CF7">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 xml:space="preserve">Conforme a lo establecido en el numeral 2 del literal B) del artículo 44 del Decreto 379/018, cuando se trate de clientes Fideicomisos, Fundaciones y Asociaciones Civiles, se deberá requerir los mismos requisitos que para las Personas Jurídicas, previstos en el </w:t>
      </w:r>
      <w:r w:rsidR="00CD5B73">
        <w:rPr>
          <w:rFonts w:ascii="Arial Unicode MS" w:eastAsia="Arial Unicode MS" w:hAnsi="Arial Unicode MS" w:cs="Arial Unicode MS"/>
          <w:sz w:val="24"/>
          <w:szCs w:val="24"/>
        </w:rPr>
        <w:t xml:space="preserve">numeral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satisfactoriamente los procedimientos de debida diligencia. En dicha carta deberá constar el origen de los fondos aportados, así como el beneficiario final identificado. </w:t>
      </w:r>
    </w:p>
    <w:p w:rsidR="00545FE1" w:rsidRDefault="00562CF7">
      <w:pPr>
        <w:jc w:val="center"/>
      </w:pPr>
      <w:r>
        <w:rPr>
          <w:rFonts w:ascii="Arial Unicode MS" w:eastAsia="Arial Unicode MS" w:hAnsi="Arial Unicode MS" w:cs="Arial Unicode MS"/>
          <w:b/>
          <w:sz w:val="24"/>
          <w:szCs w:val="24"/>
          <w:u w:val="single"/>
        </w:rPr>
        <w:t>Momento en que debe realizarse la Debida Diligencia de Cliente:</w:t>
      </w:r>
    </w:p>
    <w:p w:rsidR="00545FE1" w:rsidRDefault="00562CF7">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La debida diligencia de cliente se debe realizar antes o durante el establecimiento de la relación comercial o al realizar transacciones para clientes ocasionales.</w:t>
      </w:r>
    </w:p>
    <w:p w:rsidR="0025066E" w:rsidRDefault="0025066E" w:rsidP="0025066E">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deberá aumentar la frecuencia de actualización de conocimiento de cliente y realizar un seguimiento más intenso de la relación comercial. </w:t>
      </w:r>
    </w:p>
    <w:p w:rsidR="00545FE1" w:rsidRDefault="00545FE1">
      <w:pPr>
        <w:pStyle w:val="Prrafodelista"/>
        <w:tabs>
          <w:tab w:val="left" w:pos="0"/>
        </w:tabs>
        <w:spacing w:before="240"/>
        <w:ind w:left="0"/>
        <w:jc w:val="both"/>
        <w:rPr>
          <w:rFonts w:ascii="Arial Unicode MS" w:eastAsia="Arial Unicode MS" w:hAnsi="Arial Unicode MS" w:cs="Arial Unicode MS"/>
          <w:sz w:val="24"/>
          <w:szCs w:val="24"/>
        </w:rPr>
      </w:pPr>
    </w:p>
    <w:p w:rsidR="00545FE1" w:rsidRDefault="00562CF7" w:rsidP="00CD5B73">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545FE1" w:rsidRDefault="00562CF7">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p>
    <w:p w:rsidR="00374F60" w:rsidRDefault="0025066E" w:rsidP="00D56C05">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Asimismo, los sujetos obligados que han efectuado un congelamiento preventivo conforme al artículo 4 de la Ley 19.749, de 15 de mayo de 2019, lo deberán notificar de inmediato a la UIAF del BCU, de acuerdo a lo previsto en el precitado artículo.</w:t>
      </w:r>
    </w:p>
    <w:p w:rsidR="00D56C05" w:rsidRDefault="00D56C05" w:rsidP="00D56C05">
      <w:pPr>
        <w:pStyle w:val="Prrafodelista"/>
        <w:tabs>
          <w:tab w:val="left" w:pos="0"/>
        </w:tabs>
        <w:ind w:left="0"/>
        <w:jc w:val="both"/>
        <w:rPr>
          <w:rFonts w:ascii="Arial Unicode MS" w:eastAsia="Arial Unicode MS" w:hAnsi="Arial Unicode MS" w:cs="Arial Unicode MS"/>
          <w:b/>
          <w:sz w:val="24"/>
          <w:szCs w:val="24"/>
          <w:u w:val="single"/>
        </w:rPr>
      </w:pPr>
    </w:p>
    <w:p w:rsidR="00545FE1" w:rsidRDefault="00562CF7">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545FE1" w:rsidRPr="00CD5B73" w:rsidRDefault="00562CF7">
      <w:pPr>
        <w:pStyle w:val="Prrafodelista"/>
        <w:tabs>
          <w:tab w:val="left" w:pos="0"/>
        </w:tabs>
        <w:ind w:left="0"/>
        <w:jc w:val="both"/>
        <w:rPr>
          <w:rFonts w:ascii="Arial Unicode MS" w:eastAsia="Arial Unicode MS" w:hAnsi="Arial Unicode MS" w:cs="Arial Unicode MS"/>
          <w:sz w:val="24"/>
          <w:szCs w:val="24"/>
          <w:u w:val="single"/>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sidR="004D5EB5" w:rsidRPr="004D5EB5">
        <w:rPr>
          <w:rFonts w:ascii="Arial Unicode MS" w:eastAsia="Arial Unicode MS" w:hAnsi="Arial Unicode MS" w:cs="Arial Unicode MS"/>
          <w:sz w:val="24"/>
          <w:szCs w:val="24"/>
          <w:u w:val="single"/>
        </w:rPr>
        <w:t>por un plazo mínimo de cinco años después de terminada la relación comercial o de concretada la operación ocasional.</w:t>
      </w:r>
    </w:p>
    <w:p w:rsidR="00545FE1" w:rsidRDefault="00562CF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w:t>
      </w:r>
      <w:r w:rsidR="00C37B55">
        <w:rPr>
          <w:rFonts w:ascii="Arial Unicode MS" w:eastAsia="Arial Unicode MS" w:hAnsi="Arial Unicode MS" w:cs="Arial Unicode MS"/>
          <w:sz w:val="20"/>
          <w:szCs w:val="20"/>
        </w:rPr>
        <w:t>ecífico del Sector: Artículos 40</w:t>
      </w:r>
      <w:r>
        <w:rPr>
          <w:rFonts w:ascii="Arial Unicode MS" w:eastAsia="Arial Unicode MS" w:hAnsi="Arial Unicode MS" w:cs="Arial Unicode MS"/>
          <w:sz w:val="20"/>
          <w:szCs w:val="20"/>
        </w:rPr>
        <w:t xml:space="preserve"> al 49 del Decreto 379/018.</w:t>
      </w:r>
    </w:p>
    <w:p w:rsidR="00545FE1" w:rsidRDefault="00545FE1">
      <w:pPr>
        <w:pStyle w:val="Prrafodelista"/>
        <w:tabs>
          <w:tab w:val="left" w:pos="0"/>
        </w:tabs>
        <w:ind w:left="0"/>
        <w:jc w:val="both"/>
        <w:rPr>
          <w:rFonts w:ascii="Arial Unicode MS" w:eastAsia="Arial Unicode MS" w:hAnsi="Arial Unicode MS" w:cs="Arial Unicode MS"/>
          <w:sz w:val="24"/>
          <w:szCs w:val="24"/>
        </w:rPr>
      </w:pPr>
    </w:p>
    <w:sectPr w:rsidR="00545FE1" w:rsidSect="0037795B">
      <w:headerReference w:type="default" r:id="rId7"/>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A69" w:rsidRDefault="00A33A69">
      <w:pPr>
        <w:spacing w:after="0" w:line="240" w:lineRule="auto"/>
      </w:pPr>
      <w:r>
        <w:separator/>
      </w:r>
    </w:p>
  </w:endnote>
  <w:endnote w:type="continuationSeparator" w:id="0">
    <w:p w:rsidR="00A33A69" w:rsidRDefault="00A33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A69" w:rsidRDefault="00A33A69">
      <w:pPr>
        <w:spacing w:after="0" w:line="240" w:lineRule="auto"/>
      </w:pPr>
      <w:r>
        <w:separator/>
      </w:r>
    </w:p>
  </w:footnote>
  <w:footnote w:type="continuationSeparator" w:id="0">
    <w:p w:rsidR="00A33A69" w:rsidRDefault="00A33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FE1" w:rsidRDefault="00562CF7">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FE1"/>
    <w:rsid w:val="0025066E"/>
    <w:rsid w:val="0026068D"/>
    <w:rsid w:val="00370B27"/>
    <w:rsid w:val="00374F60"/>
    <w:rsid w:val="0037795B"/>
    <w:rsid w:val="004D5EB5"/>
    <w:rsid w:val="00521770"/>
    <w:rsid w:val="00545FE1"/>
    <w:rsid w:val="00562CF7"/>
    <w:rsid w:val="005872A5"/>
    <w:rsid w:val="005D2BB3"/>
    <w:rsid w:val="005E20BC"/>
    <w:rsid w:val="006D5810"/>
    <w:rsid w:val="00747C02"/>
    <w:rsid w:val="00757536"/>
    <w:rsid w:val="007834FE"/>
    <w:rsid w:val="007F6FE4"/>
    <w:rsid w:val="00883440"/>
    <w:rsid w:val="008910C7"/>
    <w:rsid w:val="00951C4A"/>
    <w:rsid w:val="00A33A69"/>
    <w:rsid w:val="00A37906"/>
    <w:rsid w:val="00A412D3"/>
    <w:rsid w:val="00AC142B"/>
    <w:rsid w:val="00AE251E"/>
    <w:rsid w:val="00B214E4"/>
    <w:rsid w:val="00C377D6"/>
    <w:rsid w:val="00C37B55"/>
    <w:rsid w:val="00CC3655"/>
    <w:rsid w:val="00CD5B73"/>
    <w:rsid w:val="00CF1D35"/>
    <w:rsid w:val="00D56C05"/>
    <w:rsid w:val="00D66976"/>
    <w:rsid w:val="00D90180"/>
    <w:rsid w:val="00D956E6"/>
    <w:rsid w:val="00DA7B94"/>
    <w:rsid w:val="00DC19FC"/>
    <w:rsid w:val="00E57B1E"/>
    <w:rsid w:val="00E82922"/>
    <w:rsid w:val="00EF3AC4"/>
    <w:rsid w:val="00F1486D"/>
    <w:rsid w:val="00F56D47"/>
    <w:rsid w:val="00FB586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8686"/>
  <w15:docId w15:val="{3509EA91-9B65-4880-9ED3-528E122E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37795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37795B"/>
    <w:pPr>
      <w:spacing w:after="140"/>
    </w:pPr>
  </w:style>
  <w:style w:type="paragraph" w:styleId="Lista">
    <w:name w:val="List"/>
    <w:basedOn w:val="Textoindependiente"/>
    <w:rsid w:val="0037795B"/>
    <w:rPr>
      <w:rFonts w:cs="Arial"/>
    </w:rPr>
  </w:style>
  <w:style w:type="paragraph" w:styleId="Descripcin">
    <w:name w:val="caption"/>
    <w:basedOn w:val="Normal"/>
    <w:qFormat/>
    <w:rsid w:val="0037795B"/>
    <w:pPr>
      <w:suppressLineNumbers/>
      <w:spacing w:before="120" w:after="120"/>
    </w:pPr>
    <w:rPr>
      <w:rFonts w:cs="Arial"/>
      <w:i/>
      <w:iCs/>
      <w:sz w:val="24"/>
      <w:szCs w:val="24"/>
    </w:rPr>
  </w:style>
  <w:style w:type="paragraph" w:customStyle="1" w:styleId="ndice">
    <w:name w:val="Índice"/>
    <w:basedOn w:val="Normal"/>
    <w:qFormat/>
    <w:rsid w:val="0037795B"/>
    <w:pPr>
      <w:suppressLineNumbers/>
    </w:pPr>
    <w:rPr>
      <w:rFonts w:cs="Arial"/>
    </w:rPr>
  </w:style>
  <w:style w:type="paragraph" w:customStyle="1" w:styleId="Cabeceraypie">
    <w:name w:val="Cabecera y pie"/>
    <w:basedOn w:val="Normal"/>
    <w:qFormat/>
    <w:rsid w:val="0037795B"/>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A6979-6C17-4097-AE92-73311015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2242</Words>
  <Characters>12337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4</cp:revision>
  <dcterms:created xsi:type="dcterms:W3CDTF">2021-09-15T20:09:00Z</dcterms:created>
  <dcterms:modified xsi:type="dcterms:W3CDTF">2021-10-08T14:24:00Z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